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6"/>
          <w:szCs w:val="36"/>
          <w:rtl w:val="0"/>
        </w:rPr>
        <w:t xml:space="preserve">PROCESS POST-FORMATION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entury Gothic" w:cs="Century Gothic" w:eastAsia="Century Gothic" w:hAnsi="Century Gothic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15"/>
        <w:gridCol w:w="2340"/>
        <w:gridCol w:w="2130"/>
        <w:gridCol w:w="3375"/>
        <w:tblGridChange w:id="0">
          <w:tblGrid>
            <w:gridCol w:w="5115"/>
            <w:gridCol w:w="2340"/>
            <w:gridCol w:w="2130"/>
            <w:gridCol w:w="33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Quoi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Qui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Quand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Comment 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Organisation de la délibération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J+2 fin de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Attestation de réussite et de suivi de formation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Validation de la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J+5 fin de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Envoi mail sur l’adresse du dossier de candidature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À joindre : certificat de réalisation et diplôme (si besoin)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Mesure de la satisfaction étudiants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J+7 fin de formation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Message via mail professionnel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À joindre : questionnaire satisfaction à froid (apprenants)</w:t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29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15"/>
        <w:gridCol w:w="2340"/>
        <w:gridCol w:w="2130"/>
        <w:gridCol w:w="3375"/>
        <w:tblGridChange w:id="0">
          <w:tblGrid>
            <w:gridCol w:w="5115"/>
            <w:gridCol w:w="2340"/>
            <w:gridCol w:w="2130"/>
            <w:gridCol w:w="33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Suivi des étudiants 6 mois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6 mois après la fin de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Message via mail professionnel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MAJ fichier “suivi des inscriptions”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À joindre : enquête de suivi 6 mois (si besoin)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Suivi des étudiants 2 ans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2 ans après la fin de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Message via mail professionnel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MAJ fichier “suivi des inscriptions”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À joindre : enquête de suivi 2 ans (si besoin)</w:t>
            </w:r>
          </w:p>
        </w:tc>
      </w:tr>
    </w:tbl>
    <w:p w:rsidR="00000000" w:rsidDel="00000000" w:rsidP="00000000" w:rsidRDefault="00000000" w:rsidRPr="00000000" w14:paraId="00000027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F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jc w:val="center"/>
      <w:rPr/>
    </w:pPr>
    <w:r w:rsidDel="00000000" w:rsidR="00000000" w:rsidRPr="00000000">
      <w:rPr>
        <w:rtl w:val="0"/>
      </w:rPr>
      <w:t xml:space="preserve">LOGO</w:t>
    </w:r>
  </w:p>
  <w:p w:rsidR="00000000" w:rsidDel="00000000" w:rsidP="00000000" w:rsidRDefault="00000000" w:rsidRPr="00000000" w14:paraId="0000002A">
    <w:pPr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