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FICHE DE POSTE FORMATEUR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ACTIVITÉ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PRINCIPALE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 formateur assure des prestations de formation et/ou de perfectionnement auprès d’adultes salariés ou demandeurs d’emploi pour une mise à jour des connaissances ou un nouvel apprentissage.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conduit ces actions de formation auprès de publics adultes soucieux d’acquérir des compétences supplémentaires dans le cadre de cours en présentiel.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s’appuie dans sa mission sur les différents référentiels pédagogiques et les matériels mis au point par l’organisme de formation.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MISSIONS PRINCIPALES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Définir le contenu pédagogique et le déroulement de la formation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Contribuer au bon déroulement des actions de formation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Assurer la veille pédagogique et technique dans son domaine d’intervention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Évaluer les résultats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QUALITÉS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REQUISES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Une expérience de terrain dans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« Nom du domaine d’activité 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Être un bon pédagogue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Savoir transmettre sa motivation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Être enthousiaste et positif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Avoir le désir de se former et d’être en veille perpétuelle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COMPÉTENCES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REQUISES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Maîtrise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des connaissances des domaines d’intervention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Sens de la communication (écoute, communication orale)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Century Gothic" w:cs="Century Gothic" w:eastAsia="Century Gothic" w:hAnsi="Century Gothic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Maîtrise des techniques pédagogiques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b w:val="1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