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2469"/>
        </w:tabs>
        <w:jc w:val="center"/>
        <w:rPr>
          <w:b w:val="1"/>
          <w:i w:val="1"/>
          <w:color w:val="4472c4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INDICATEURS DE RÉSULTATS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2469"/>
        </w:tabs>
        <w:jc w:val="center"/>
        <w:rPr>
          <w:b w:val="1"/>
          <w:i w:val="1"/>
          <w:color w:val="4472c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469"/>
        </w:tabs>
        <w:spacing w:after="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Taux de satisfaction des stagiaires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469"/>
        </w:tabs>
        <w:spacing w:after="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Nombre de stagiaires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Taux d’interruption en cours de prestation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Taux et causes des abandons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469"/>
        </w:tabs>
        <w:spacing w:after="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Taux de retour des enquêtes (sond</w:t>
      </w:r>
      <w:r w:rsidDel="00000000" w:rsidR="00000000" w:rsidRPr="00000000">
        <w:rPr>
          <w:color w:val="c00000"/>
          <w:rtl w:val="0"/>
        </w:rPr>
        <w:t xml:space="preserve">ages, enquêtes de satisfaction)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469"/>
        </w:tabs>
        <w:spacing w:after="16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Taux d’</w:t>
      </w:r>
      <w:r w:rsidDel="00000000" w:rsidR="00000000" w:rsidRPr="00000000">
        <w:rPr>
          <w:color w:val="c00000"/>
          <w:rtl w:val="0"/>
        </w:rPr>
        <w:t xml:space="preserve">évolution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 dans l’emploi (prom</w:t>
      </w:r>
      <w:r w:rsidDel="00000000" w:rsidR="00000000" w:rsidRPr="00000000">
        <w:rPr>
          <w:color w:val="c00000"/>
          <w:rtl w:val="0"/>
        </w:rPr>
        <w:t xml:space="preserve">otions, évolution de poste)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2469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2469"/>
        </w:tabs>
        <w:rPr/>
      </w:pPr>
      <w:r w:rsidDel="00000000" w:rsidR="00000000" w:rsidRPr="00000000">
        <w:rPr>
          <w:rtl w:val="0"/>
        </w:rPr>
        <w:t xml:space="preserve">À chaque indicateur est associé un outil pour collecter les informations.</w:t>
      </w:r>
    </w:p>
    <w:p w:rsidR="00000000" w:rsidDel="00000000" w:rsidP="00000000" w:rsidRDefault="00000000" w:rsidRPr="00000000" w14:paraId="0000000C">
      <w:pPr>
        <w:tabs>
          <w:tab w:val="left" w:pos="2469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2469"/>
        </w:tabs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11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Century Gothic" w:cs="Century Gothic" w:eastAsia="Century Gothic" w:hAnsi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