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320" w:firstLine="720"/>
        <w:jc w:val="left"/>
        <w:rPr>
          <w:b w:val="1"/>
          <w:sz w:val="36"/>
          <w:szCs w:val="36"/>
        </w:rPr>
      </w:pPr>
      <w:r w:rsidDel="00000000" w:rsidR="00000000" w:rsidRPr="00000000">
        <w:rPr>
          <w:rtl w:val="0"/>
        </w:rPr>
      </w:r>
    </w:p>
    <w:p w:rsidR="00000000" w:rsidDel="00000000" w:rsidP="00000000" w:rsidRDefault="00000000" w:rsidRPr="00000000" w14:paraId="00000002">
      <w:pPr>
        <w:ind w:left="4320" w:firstLine="720"/>
        <w:jc w:val="left"/>
        <w:rPr>
          <w:b w:val="1"/>
          <w:sz w:val="36"/>
          <w:szCs w:val="36"/>
        </w:rPr>
      </w:pPr>
      <w:r w:rsidDel="00000000" w:rsidR="00000000" w:rsidRPr="00000000">
        <w:rPr>
          <w:b w:val="1"/>
          <w:sz w:val="36"/>
          <w:szCs w:val="36"/>
          <w:rtl w:val="0"/>
        </w:rPr>
        <w:t xml:space="preserve">VEILLE RÉGLEMENTAIRE</w:t>
      </w:r>
    </w:p>
    <w:p w:rsidR="00000000" w:rsidDel="00000000" w:rsidP="00000000" w:rsidRDefault="00000000" w:rsidRPr="00000000" w14:paraId="00000003">
      <w:pPr>
        <w:ind w:left="4320" w:firstLine="720"/>
        <w:rPr>
          <w:b w:val="1"/>
          <w:sz w:val="36"/>
          <w:szCs w:val="36"/>
        </w:rPr>
      </w:pPr>
      <w:r w:rsidDel="00000000" w:rsidR="00000000" w:rsidRPr="00000000">
        <w:rPr>
          <w:rtl w:val="0"/>
        </w:rPr>
      </w:r>
    </w:p>
    <w:tbl>
      <w:tblPr>
        <w:tblStyle w:val="Table1"/>
        <w:tblW w:w="14955.0" w:type="dxa"/>
        <w:jc w:val="left"/>
        <w:tblInd w:w="59.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2940"/>
        <w:gridCol w:w="3420"/>
        <w:gridCol w:w="1245"/>
        <w:gridCol w:w="2670"/>
        <w:gridCol w:w="2985"/>
        <w:tblGridChange w:id="0">
          <w:tblGrid>
            <w:gridCol w:w="1695"/>
            <w:gridCol w:w="2940"/>
            <w:gridCol w:w="3420"/>
            <w:gridCol w:w="1245"/>
            <w:gridCol w:w="2670"/>
            <w:gridCol w:w="2985"/>
          </w:tblGrid>
        </w:tblGridChange>
      </w:tblGrid>
      <w:tr>
        <w:trPr>
          <w:cantSplit w:val="0"/>
          <w:trHeight w:val="428" w:hRule="atLeast"/>
          <w:tblHeader w:val="0"/>
        </w:trPr>
        <w:tc>
          <w:tcPr>
            <w:vAlign w:val="center"/>
          </w:tcPr>
          <w:p w:rsidR="00000000" w:rsidDel="00000000" w:rsidP="00000000" w:rsidRDefault="00000000" w:rsidRPr="00000000" w14:paraId="00000004">
            <w:pPr>
              <w:spacing w:after="0" w:line="240" w:lineRule="auto"/>
              <w:jc w:val="center"/>
              <w:rPr>
                <w:b w:val="1"/>
              </w:rPr>
            </w:pPr>
            <w:r w:rsidDel="00000000" w:rsidR="00000000" w:rsidRPr="00000000">
              <w:rPr>
                <w:b w:val="1"/>
                <w:rtl w:val="0"/>
              </w:rPr>
              <w:t xml:space="preserve">Catégorie</w:t>
            </w:r>
          </w:p>
        </w:tc>
        <w:tc>
          <w:tcPr>
            <w:vAlign w:val="center"/>
          </w:tcPr>
          <w:p w:rsidR="00000000" w:rsidDel="00000000" w:rsidP="00000000" w:rsidRDefault="00000000" w:rsidRPr="00000000" w14:paraId="00000005">
            <w:pPr>
              <w:spacing w:after="0" w:line="240" w:lineRule="auto"/>
              <w:jc w:val="center"/>
              <w:rPr>
                <w:b w:val="1"/>
              </w:rPr>
            </w:pPr>
            <w:r w:rsidDel="00000000" w:rsidR="00000000" w:rsidRPr="00000000">
              <w:rPr>
                <w:b w:val="1"/>
                <w:rtl w:val="0"/>
              </w:rPr>
              <w:t xml:space="preserve">Nom de l’article</w:t>
            </w:r>
          </w:p>
        </w:tc>
        <w:tc>
          <w:tcPr>
            <w:vAlign w:val="center"/>
          </w:tcPr>
          <w:p w:rsidR="00000000" w:rsidDel="00000000" w:rsidP="00000000" w:rsidRDefault="00000000" w:rsidRPr="00000000" w14:paraId="00000006">
            <w:pPr>
              <w:spacing w:after="0" w:line="240" w:lineRule="auto"/>
              <w:jc w:val="center"/>
              <w:rPr>
                <w:b w:val="1"/>
              </w:rPr>
            </w:pPr>
            <w:r w:rsidDel="00000000" w:rsidR="00000000" w:rsidRPr="00000000">
              <w:rPr>
                <w:b w:val="1"/>
                <w:rtl w:val="0"/>
              </w:rPr>
              <w:t xml:space="preserve">Lien</w:t>
            </w:r>
          </w:p>
        </w:tc>
        <w:tc>
          <w:tcPr>
            <w:vAlign w:val="center"/>
          </w:tcPr>
          <w:p w:rsidR="00000000" w:rsidDel="00000000" w:rsidP="00000000" w:rsidRDefault="00000000" w:rsidRPr="00000000" w14:paraId="00000007">
            <w:pPr>
              <w:spacing w:after="0" w:line="240" w:lineRule="auto"/>
              <w:jc w:val="center"/>
              <w:rPr>
                <w:b w:val="1"/>
              </w:rPr>
            </w:pPr>
            <w:r w:rsidDel="00000000" w:rsidR="00000000" w:rsidRPr="00000000">
              <w:rPr>
                <w:b w:val="1"/>
                <w:rtl w:val="0"/>
              </w:rPr>
              <w:t xml:space="preserve">Date</w:t>
            </w:r>
          </w:p>
        </w:tc>
        <w:tc>
          <w:tcPr>
            <w:vAlign w:val="center"/>
          </w:tcPr>
          <w:p w:rsidR="00000000" w:rsidDel="00000000" w:rsidP="00000000" w:rsidRDefault="00000000" w:rsidRPr="00000000" w14:paraId="00000008">
            <w:pPr>
              <w:spacing w:after="0" w:line="240" w:lineRule="auto"/>
              <w:jc w:val="center"/>
              <w:rPr>
                <w:b w:val="1"/>
              </w:rPr>
            </w:pPr>
            <w:r w:rsidDel="00000000" w:rsidR="00000000" w:rsidRPr="00000000">
              <w:rPr>
                <w:b w:val="1"/>
                <w:rtl w:val="0"/>
              </w:rPr>
              <w:t xml:space="preserve">Commentaire</w:t>
            </w:r>
          </w:p>
        </w:tc>
        <w:tc>
          <w:tcPr>
            <w:vAlign w:val="center"/>
          </w:tcPr>
          <w:p w:rsidR="00000000" w:rsidDel="00000000" w:rsidP="00000000" w:rsidRDefault="00000000" w:rsidRPr="00000000" w14:paraId="00000009">
            <w:pPr>
              <w:spacing w:after="0" w:line="240" w:lineRule="auto"/>
              <w:jc w:val="center"/>
              <w:rPr>
                <w:b w:val="1"/>
              </w:rPr>
            </w:pPr>
            <w:r w:rsidDel="00000000" w:rsidR="00000000" w:rsidRPr="00000000">
              <w:rPr>
                <w:b w:val="1"/>
                <w:rtl w:val="0"/>
              </w:rPr>
              <w:t xml:space="preserve">Exploitation</w:t>
            </w:r>
          </w:p>
        </w:tc>
      </w:tr>
      <w:tr>
        <w:trPr>
          <w:cantSplit w:val="0"/>
          <w:trHeight w:val="981" w:hRule="atLeast"/>
          <w:tblHeader w:val="0"/>
        </w:trPr>
        <w:tc>
          <w:tcPr>
            <w:vAlign w:val="center"/>
          </w:tcPr>
          <w:p w:rsidR="00000000" w:rsidDel="00000000" w:rsidP="00000000" w:rsidRDefault="00000000" w:rsidRPr="00000000" w14:paraId="0000000A">
            <w:pPr>
              <w:pStyle w:val="Heading1"/>
              <w:keepNext w:val="0"/>
              <w:keepLines w:val="0"/>
              <w:spacing w:line="240" w:lineRule="auto"/>
              <w:rPr>
                <w:rFonts w:ascii="Calibri" w:cs="Calibri" w:eastAsia="Calibri" w:hAnsi="Calibri"/>
                <w:b w:val="0"/>
                <w:sz w:val="22"/>
                <w:szCs w:val="22"/>
              </w:rPr>
            </w:pPr>
            <w:bookmarkStart w:colFirst="0" w:colLast="0" w:name="_gjdgxs" w:id="0"/>
            <w:bookmarkEnd w:id="0"/>
            <w:r w:rsidDel="00000000" w:rsidR="00000000" w:rsidRPr="00000000">
              <w:rPr>
                <w:rFonts w:ascii="Calibri" w:cs="Calibri" w:eastAsia="Calibri" w:hAnsi="Calibri"/>
                <w:b w:val="0"/>
                <w:sz w:val="22"/>
                <w:szCs w:val="22"/>
                <w:rtl w:val="0"/>
              </w:rPr>
              <w:t xml:space="preserve">Qualiopi </w:t>
            </w:r>
          </w:p>
          <w:p w:rsidR="00000000" w:rsidDel="00000000" w:rsidP="00000000" w:rsidRDefault="00000000" w:rsidRPr="00000000" w14:paraId="0000000B">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0C">
            <w:pPr>
              <w:pStyle w:val="Heading1"/>
              <w:keepNext w:val="0"/>
              <w:keepLines w:val="0"/>
              <w:spacing w:line="240" w:lineRule="auto"/>
              <w:rPr>
                <w:rFonts w:ascii="Calibri" w:cs="Calibri" w:eastAsia="Calibri" w:hAnsi="Calibri"/>
                <w:sz w:val="22"/>
                <w:szCs w:val="22"/>
              </w:rPr>
            </w:pPr>
            <w:bookmarkStart w:colFirst="0" w:colLast="0" w:name="_30j0zll" w:id="1"/>
            <w:bookmarkEnd w:id="1"/>
            <w:r w:rsidDel="00000000" w:rsidR="00000000" w:rsidRPr="00000000">
              <w:rPr>
                <w:rFonts w:ascii="Calibri" w:cs="Calibri" w:eastAsia="Calibri" w:hAnsi="Calibri"/>
                <w:sz w:val="22"/>
                <w:szCs w:val="22"/>
                <w:rtl w:val="0"/>
              </w:rPr>
              <w:t xml:space="preserve">La certification qualité Qualiopi obligatoire à partir du 1er janvier 2022</w:t>
            </w:r>
          </w:p>
          <w:p w:rsidR="00000000" w:rsidDel="00000000" w:rsidP="00000000" w:rsidRDefault="00000000" w:rsidRPr="00000000" w14:paraId="0000000D">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0E">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https://www.digiformag.com/qualiopi/certification-qualite-qualiopi-obligatoire-a-partir-du-1er-janvier-2022/</w:t>
            </w:r>
          </w:p>
        </w:tc>
        <w:tc>
          <w:tcPr>
            <w:vAlign w:val="center"/>
          </w:tcPr>
          <w:p w:rsidR="00000000" w:rsidDel="00000000" w:rsidP="00000000" w:rsidRDefault="00000000" w:rsidRPr="00000000" w14:paraId="0000000F">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13/01/21</w:t>
            </w:r>
          </w:p>
        </w:tc>
        <w:tc>
          <w:tcPr>
            <w:vAlign w:val="center"/>
          </w:tcPr>
          <w:p w:rsidR="00000000" w:rsidDel="00000000" w:rsidP="00000000" w:rsidRDefault="00000000" w:rsidRPr="00000000" w14:paraId="00000010">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une obligation de certification, par un organisme tiers, des organismes de formation concourant au développement des compétences sur la base d’un référentiel national unique, s’ils veulent bénéficier de fonds publics ou mutualisés </w:t>
            </w:r>
          </w:p>
        </w:tc>
        <w:tc>
          <w:tcPr>
            <w:vAlign w:val="center"/>
          </w:tcPr>
          <w:p w:rsidR="00000000" w:rsidDel="00000000" w:rsidP="00000000" w:rsidRDefault="00000000" w:rsidRPr="00000000" w14:paraId="00000011">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Audit pour l’obtention de la certification Qualiopi le XX/XX/XXXX</w:t>
            </w:r>
          </w:p>
        </w:tc>
      </w:tr>
      <w:tr>
        <w:trPr>
          <w:cantSplit w:val="0"/>
          <w:trHeight w:val="1080" w:hRule="atLeast"/>
          <w:tblHeader w:val="0"/>
        </w:trPr>
        <w:tc>
          <w:tcPr>
            <w:vAlign w:val="center"/>
          </w:tcPr>
          <w:p w:rsidR="00000000" w:rsidDel="00000000" w:rsidP="00000000" w:rsidRDefault="00000000" w:rsidRPr="00000000" w14:paraId="00000012">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Covid</w:t>
            </w:r>
          </w:p>
        </w:tc>
        <w:tc>
          <w:tcPr>
            <w:vAlign w:val="center"/>
          </w:tcPr>
          <w:p w:rsidR="00000000" w:rsidDel="00000000" w:rsidP="00000000" w:rsidRDefault="00000000" w:rsidRPr="00000000" w14:paraId="00000013">
            <w:pPr>
              <w:pStyle w:val="Heading1"/>
              <w:keepNext w:val="0"/>
              <w:keepLines w:val="0"/>
              <w:spacing w:line="240" w:lineRule="auto"/>
              <w:rPr>
                <w:rFonts w:ascii="Calibri" w:cs="Calibri" w:eastAsia="Calibri" w:hAnsi="Calibri"/>
                <w:b w:val="0"/>
                <w:sz w:val="22"/>
                <w:szCs w:val="22"/>
              </w:rPr>
            </w:pPr>
            <w:bookmarkStart w:colFirst="0" w:colLast="0" w:name="_1fob9te" w:id="2"/>
            <w:bookmarkEnd w:id="2"/>
            <w:r w:rsidDel="00000000" w:rsidR="00000000" w:rsidRPr="00000000">
              <w:rPr>
                <w:rFonts w:ascii="Calibri" w:cs="Calibri" w:eastAsia="Calibri" w:hAnsi="Calibri"/>
                <w:b w:val="0"/>
                <w:sz w:val="22"/>
                <w:szCs w:val="22"/>
                <w:rtl w:val="0"/>
              </w:rPr>
              <w:t xml:space="preserve">Mesures sanitaires : les conditions d’accueil en présentiel et à distance sont maintenues</w:t>
            </w:r>
          </w:p>
          <w:p w:rsidR="00000000" w:rsidDel="00000000" w:rsidP="00000000" w:rsidRDefault="00000000" w:rsidRPr="00000000" w14:paraId="00000014">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15">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https://www.of.moncompteformation.gouv.fr/actualite/mesures-sanitaires-les-conditions-daccueil-en-presentiel-et-distance-sont-maintenues</w:t>
            </w:r>
          </w:p>
        </w:tc>
        <w:tc>
          <w:tcPr>
            <w:vAlign w:val="center"/>
          </w:tcPr>
          <w:p w:rsidR="00000000" w:rsidDel="00000000" w:rsidP="00000000" w:rsidRDefault="00000000" w:rsidRPr="00000000" w14:paraId="00000016">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2/04/21</w:t>
            </w:r>
          </w:p>
        </w:tc>
        <w:tc>
          <w:tcPr>
            <w:vAlign w:val="center"/>
          </w:tcPr>
          <w:p w:rsidR="00000000" w:rsidDel="00000000" w:rsidP="00000000" w:rsidRDefault="00000000" w:rsidRPr="00000000" w14:paraId="00000017">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 le recours aux formations à distance doit toujours être privilégié, nous pourrons continuer à accueillir physiquement certains publics prioritaires pour organiser des formations non réalisables à distance.</w:t>
            </w:r>
          </w:p>
        </w:tc>
        <w:tc>
          <w:tcPr>
            <w:vAlign w:val="center"/>
          </w:tcPr>
          <w:p w:rsidR="00000000" w:rsidDel="00000000" w:rsidP="00000000" w:rsidRDefault="00000000" w:rsidRPr="00000000" w14:paraId="00000018">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Privilégier le distanciel</w:t>
            </w:r>
          </w:p>
          <w:p w:rsidR="00000000" w:rsidDel="00000000" w:rsidP="00000000" w:rsidRDefault="00000000" w:rsidRPr="00000000" w14:paraId="00000019">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 impossible appliquer les gestes barrières, mettre à disposition des masques, gel  </w:t>
            </w:r>
          </w:p>
        </w:tc>
      </w:tr>
      <w:tr>
        <w:trPr>
          <w:cantSplit w:val="0"/>
          <w:trHeight w:val="1620" w:hRule="atLeast"/>
          <w:tblHeader w:val="0"/>
        </w:trPr>
        <w:tc>
          <w:tcPr>
            <w:vAlign w:val="center"/>
          </w:tcPr>
          <w:p w:rsidR="00000000" w:rsidDel="00000000" w:rsidP="00000000" w:rsidRDefault="00000000" w:rsidRPr="00000000" w14:paraId="0000001A">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Contribution formation</w:t>
            </w:r>
          </w:p>
        </w:tc>
        <w:tc>
          <w:tcPr>
            <w:vAlign w:val="center"/>
          </w:tcPr>
          <w:p w:rsidR="00000000" w:rsidDel="00000000" w:rsidP="00000000" w:rsidRDefault="00000000" w:rsidRPr="00000000" w14:paraId="0000001B">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Ordonnance de transfert du recouvrement de la contribution formation et de la taxe d’apprentissage aux URSSAF</w:t>
            </w:r>
          </w:p>
        </w:tc>
        <w:tc>
          <w:tcPr>
            <w:vAlign w:val="center"/>
          </w:tcPr>
          <w:p w:rsidR="00000000" w:rsidDel="00000000" w:rsidP="00000000" w:rsidRDefault="00000000" w:rsidRPr="00000000" w14:paraId="0000001C">
            <w:pPr>
              <w:spacing w:after="0" w:line="240" w:lineRule="auto"/>
              <w:rPr>
                <w:rFonts w:ascii="Calibri" w:cs="Calibri" w:eastAsia="Calibri" w:hAnsi="Calibri"/>
                <w:sz w:val="22"/>
                <w:szCs w:val="22"/>
              </w:rPr>
            </w:pPr>
            <w:hyperlink r:id="rId6">
              <w:r w:rsidDel="00000000" w:rsidR="00000000" w:rsidRPr="00000000">
                <w:rPr>
                  <w:rFonts w:ascii="Calibri" w:cs="Calibri" w:eastAsia="Calibri" w:hAnsi="Calibri"/>
                  <w:color w:val="1155cc"/>
                  <w:sz w:val="22"/>
                  <w:szCs w:val="22"/>
                  <w:u w:val="single"/>
                  <w:rtl w:val="0"/>
                </w:rPr>
                <w:t xml:space="preserve">https://www.legifiscal.fr/actualites-fiscales/2828-ordonnance-transfert-recouvrement-contribution-formation-taxe-apprentissage-urssaf.html</w:t>
              </w:r>
            </w:hyperlink>
            <w:r w:rsidDel="00000000" w:rsidR="00000000" w:rsidRPr="00000000">
              <w:rPr>
                <w:rtl w:val="0"/>
              </w:rPr>
            </w:r>
          </w:p>
        </w:tc>
        <w:tc>
          <w:tcPr>
            <w:vAlign w:val="center"/>
          </w:tcPr>
          <w:p w:rsidR="00000000" w:rsidDel="00000000" w:rsidP="00000000" w:rsidRDefault="00000000" w:rsidRPr="00000000" w14:paraId="0000001D">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28/06/21</w:t>
            </w:r>
          </w:p>
        </w:tc>
        <w:tc>
          <w:tcPr>
            <w:vAlign w:val="center"/>
          </w:tcPr>
          <w:p w:rsidR="00000000" w:rsidDel="00000000" w:rsidP="00000000" w:rsidRDefault="00000000" w:rsidRPr="00000000" w14:paraId="0000001E">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L'ordonnance n°2021-797 du 23 juin 2021 officialise comme prévu le transfert du recouvrement de la contribution formation et de la taxe d'apprentissage aux URSSAF à compter de janvier 2022.</w:t>
            </w:r>
          </w:p>
        </w:tc>
        <w:tc>
          <w:tcPr>
            <w:vAlign w:val="center"/>
          </w:tcPr>
          <w:p w:rsidR="00000000" w:rsidDel="00000000" w:rsidP="00000000" w:rsidRDefault="00000000" w:rsidRPr="00000000" w14:paraId="0000001F">
            <w:pPr>
              <w:spacing w:after="0" w:line="240" w:lineRule="auto"/>
              <w:rPr>
                <w:rFonts w:ascii="Calibri" w:cs="Calibri" w:eastAsia="Calibri" w:hAnsi="Calibri"/>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0">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Handicap</w:t>
            </w:r>
          </w:p>
        </w:tc>
        <w:tc>
          <w:tcPr>
            <w:vAlign w:val="center"/>
          </w:tcPr>
          <w:p w:rsidR="00000000" w:rsidDel="00000000" w:rsidP="00000000" w:rsidRDefault="00000000" w:rsidRPr="00000000" w14:paraId="00000021">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L'État et l'Agefiph mobilisés pour accélérer l'inclusion dans l'emploi des personnes handicapées</w:t>
            </w:r>
          </w:p>
        </w:tc>
        <w:tc>
          <w:tcPr>
            <w:vAlign w:val="center"/>
          </w:tcPr>
          <w:p w:rsidR="00000000" w:rsidDel="00000000" w:rsidP="00000000" w:rsidRDefault="00000000" w:rsidRPr="00000000" w14:paraId="00000022">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https://www.monparcourshandicap.gouv.fr/actualite/etat-agefiph-une-convention-pour-accelerer-lemploi-des-personnes-en-situation-de-handicap</w:t>
            </w:r>
          </w:p>
        </w:tc>
        <w:tc>
          <w:tcPr>
            <w:vAlign w:val="center"/>
          </w:tcPr>
          <w:p w:rsidR="00000000" w:rsidDel="00000000" w:rsidP="00000000" w:rsidRDefault="00000000" w:rsidRPr="00000000" w14:paraId="00000023">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27/07/21</w:t>
            </w:r>
          </w:p>
        </w:tc>
        <w:tc>
          <w:tcPr>
            <w:vAlign w:val="center"/>
          </w:tcPr>
          <w:p w:rsidR="00000000" w:rsidDel="00000000" w:rsidP="00000000" w:rsidRDefault="00000000" w:rsidRPr="00000000" w14:paraId="00000024">
            <w:pPr>
              <w:spacing w:after="24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 des objectifs de cette convention :</w:t>
            </w:r>
          </w:p>
          <w:p w:rsidR="00000000" w:rsidDel="00000000" w:rsidP="00000000" w:rsidRDefault="00000000" w:rsidRPr="00000000" w14:paraId="00000025">
            <w:pPr>
              <w:spacing w:after="24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Soutenir la montée en compétence des personnes en situation de handicap par le développement de la formation </w:t>
            </w:r>
          </w:p>
          <w:p w:rsidR="00000000" w:rsidDel="00000000" w:rsidP="00000000" w:rsidRDefault="00000000" w:rsidRPr="00000000" w14:paraId="00000026">
            <w:pPr>
              <w:spacing w:after="240" w:before="24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7">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28">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Favoriser l’accessibilité de nos formations pour les personnes à mobilité réduites </w:t>
            </w:r>
          </w:p>
        </w:tc>
      </w:tr>
      <w:tr>
        <w:trPr>
          <w:cantSplit w:val="0"/>
          <w:tblHeader w:val="0"/>
        </w:trPr>
        <w:tc>
          <w:tcPr>
            <w:vAlign w:val="center"/>
          </w:tcPr>
          <w:p w:rsidR="00000000" w:rsidDel="00000000" w:rsidP="00000000" w:rsidRDefault="00000000" w:rsidRPr="00000000" w14:paraId="00000029">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Covid</w:t>
            </w:r>
          </w:p>
        </w:tc>
        <w:tc>
          <w:tcPr>
            <w:vAlign w:val="center"/>
          </w:tcPr>
          <w:p w:rsidR="00000000" w:rsidDel="00000000" w:rsidP="00000000" w:rsidRDefault="00000000" w:rsidRPr="00000000" w14:paraId="0000002A">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Vaccination et pass sanitaire obligatoires </w:t>
            </w:r>
          </w:p>
        </w:tc>
        <w:tc>
          <w:tcPr>
            <w:vAlign w:val="center"/>
          </w:tcPr>
          <w:p w:rsidR="00000000" w:rsidDel="00000000" w:rsidP="00000000" w:rsidRDefault="00000000" w:rsidRPr="00000000" w14:paraId="0000002B">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https://www.service-public.fr/particuliers/actualites/A15121</w:t>
            </w:r>
          </w:p>
        </w:tc>
        <w:tc>
          <w:tcPr>
            <w:vAlign w:val="center"/>
          </w:tcPr>
          <w:p w:rsidR="00000000" w:rsidDel="00000000" w:rsidP="00000000" w:rsidRDefault="00000000" w:rsidRPr="00000000" w14:paraId="0000002C">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21/07/21</w:t>
            </w:r>
          </w:p>
        </w:tc>
        <w:tc>
          <w:tcPr>
            <w:vAlign w:val="center"/>
          </w:tcPr>
          <w:p w:rsidR="00000000" w:rsidDel="00000000" w:rsidP="00000000" w:rsidRDefault="00000000" w:rsidRPr="00000000" w14:paraId="0000002D">
            <w:pPr>
              <w:spacing w:after="240" w:line="24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Pas obligatoire pour effectuer des formations </w:t>
            </w:r>
          </w:p>
          <w:p w:rsidR="00000000" w:rsidDel="00000000" w:rsidP="00000000" w:rsidRDefault="00000000" w:rsidRPr="00000000" w14:paraId="0000002E">
            <w:pPr>
              <w:spacing w:after="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30">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 pas demander de pass sanitaire pour participer à une formation. Cependant si signes Covid demander à se faire vacciner 2 jours avant la formation si celle çi est en présentiel </w:t>
            </w:r>
          </w:p>
        </w:tc>
      </w:tr>
      <w:tr>
        <w:trPr>
          <w:cantSplit w:val="0"/>
          <w:tblHeader w:val="0"/>
        </w:trPr>
        <w:tc>
          <w:tcPr>
            <w:vAlign w:val="center"/>
          </w:tcPr>
          <w:p w:rsidR="00000000" w:rsidDel="00000000" w:rsidP="00000000" w:rsidRDefault="00000000" w:rsidRPr="00000000" w14:paraId="00000031">
            <w:pPr>
              <w:pStyle w:val="Heading1"/>
              <w:keepNext w:val="0"/>
              <w:keepLines w:val="0"/>
              <w:spacing w:line="240" w:lineRule="auto"/>
              <w:rPr>
                <w:rFonts w:ascii="Calibri" w:cs="Calibri" w:eastAsia="Calibri" w:hAnsi="Calibri"/>
                <w:b w:val="0"/>
                <w:sz w:val="22"/>
                <w:szCs w:val="22"/>
              </w:rPr>
            </w:pPr>
            <w:bookmarkStart w:colFirst="0" w:colLast="0" w:name="_3znysh7" w:id="3"/>
            <w:bookmarkEnd w:id="3"/>
            <w:r w:rsidDel="00000000" w:rsidR="00000000" w:rsidRPr="00000000">
              <w:rPr>
                <w:rFonts w:ascii="Calibri" w:cs="Calibri" w:eastAsia="Calibri" w:hAnsi="Calibri"/>
                <w:b w:val="0"/>
                <w:sz w:val="22"/>
                <w:szCs w:val="22"/>
                <w:rtl w:val="0"/>
              </w:rPr>
              <w:t xml:space="preserve">Fonds formation</w:t>
            </w:r>
          </w:p>
        </w:tc>
        <w:tc>
          <w:tcPr>
            <w:vAlign w:val="center"/>
          </w:tcPr>
          <w:p w:rsidR="00000000" w:rsidDel="00000000" w:rsidP="00000000" w:rsidRDefault="00000000" w:rsidRPr="00000000" w14:paraId="00000032">
            <w:pPr>
              <w:pStyle w:val="Heading1"/>
              <w:keepNext w:val="0"/>
              <w:keepLines w:val="0"/>
              <w:spacing w:line="240" w:lineRule="auto"/>
              <w:rPr>
                <w:rFonts w:ascii="Calibri" w:cs="Calibri" w:eastAsia="Calibri" w:hAnsi="Calibri"/>
                <w:sz w:val="22"/>
                <w:szCs w:val="22"/>
              </w:rPr>
            </w:pPr>
            <w:bookmarkStart w:colFirst="0" w:colLast="0" w:name="_2et92p0" w:id="4"/>
            <w:bookmarkEnd w:id="4"/>
            <w:r w:rsidDel="00000000" w:rsidR="00000000" w:rsidRPr="00000000">
              <w:rPr>
                <w:rFonts w:ascii="Calibri" w:cs="Calibri" w:eastAsia="Calibri" w:hAnsi="Calibri"/>
                <w:sz w:val="22"/>
                <w:szCs w:val="22"/>
                <w:rtl w:val="0"/>
              </w:rPr>
              <w:t xml:space="preserve">Le gouvernement débloque 1,4 milliards d’euros pour la formation professionnelle</w:t>
            </w:r>
          </w:p>
          <w:p w:rsidR="00000000" w:rsidDel="00000000" w:rsidP="00000000" w:rsidRDefault="00000000" w:rsidRPr="00000000" w14:paraId="00000033">
            <w:pPr>
              <w:pStyle w:val="Heading1"/>
              <w:keepNext w:val="0"/>
              <w:keepLines w:val="0"/>
              <w:spacing w:line="240" w:lineRule="auto"/>
              <w:rPr>
                <w:rFonts w:ascii="Calibri" w:cs="Calibri" w:eastAsia="Calibri" w:hAnsi="Calibri"/>
                <w:sz w:val="22"/>
                <w:szCs w:val="22"/>
              </w:rPr>
            </w:pPr>
            <w:bookmarkStart w:colFirst="0" w:colLast="0" w:name="_tyjcwt" w:id="5"/>
            <w:bookmarkEnd w:id="5"/>
            <w:r w:rsidDel="00000000" w:rsidR="00000000" w:rsidRPr="00000000">
              <w:rPr>
                <w:rtl w:val="0"/>
              </w:rPr>
            </w:r>
          </w:p>
        </w:tc>
        <w:tc>
          <w:tcPr>
            <w:vAlign w:val="center"/>
          </w:tcPr>
          <w:p w:rsidR="00000000" w:rsidDel="00000000" w:rsidP="00000000" w:rsidRDefault="00000000" w:rsidRPr="00000000" w14:paraId="00000034">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https://www.agendaformation.fr/plan-formation-professionnelle/</w:t>
            </w:r>
          </w:p>
        </w:tc>
        <w:tc>
          <w:tcPr>
            <w:vAlign w:val="center"/>
          </w:tcPr>
          <w:p w:rsidR="00000000" w:rsidDel="00000000" w:rsidP="00000000" w:rsidRDefault="00000000" w:rsidRPr="00000000" w14:paraId="00000035">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29/09/21</w:t>
            </w:r>
          </w:p>
        </w:tc>
        <w:tc>
          <w:tcPr>
            <w:vAlign w:val="center"/>
          </w:tcPr>
          <w:p w:rsidR="00000000" w:rsidDel="00000000" w:rsidP="00000000" w:rsidRDefault="00000000" w:rsidRPr="00000000" w14:paraId="00000036">
            <w:pPr>
              <w:spacing w:after="24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 plan gouvernemental vise donc à</w:t>
            </w:r>
            <w:r w:rsidDel="00000000" w:rsidR="00000000" w:rsidRPr="00000000">
              <w:rPr>
                <w:rFonts w:ascii="Calibri" w:cs="Calibri" w:eastAsia="Calibri" w:hAnsi="Calibri"/>
                <w:b w:val="1"/>
                <w:sz w:val="22"/>
                <w:szCs w:val="22"/>
                <w:rtl w:val="0"/>
              </w:rPr>
              <w:t xml:space="preserve"> financer la montée en compétences des demandeurs d’emploi</w:t>
            </w:r>
            <w:r w:rsidDel="00000000" w:rsidR="00000000" w:rsidRPr="00000000">
              <w:rPr>
                <w:rFonts w:ascii="Calibri" w:cs="Calibri" w:eastAsia="Calibri" w:hAnsi="Calibri"/>
                <w:sz w:val="22"/>
                <w:szCs w:val="22"/>
                <w:rtl w:val="0"/>
              </w:rPr>
              <w:t xml:space="preserve"> et à </w:t>
            </w:r>
            <w:r w:rsidDel="00000000" w:rsidR="00000000" w:rsidRPr="00000000">
              <w:rPr>
                <w:rFonts w:ascii="Calibri" w:cs="Calibri" w:eastAsia="Calibri" w:hAnsi="Calibri"/>
                <w:b w:val="1"/>
                <w:sz w:val="22"/>
                <w:szCs w:val="22"/>
                <w:rtl w:val="0"/>
              </w:rPr>
              <w:t xml:space="preserve">favoriser les reconversions</w:t>
            </w:r>
            <w:r w:rsidDel="00000000" w:rsidR="00000000" w:rsidRPr="00000000">
              <w:rPr>
                <w:rFonts w:ascii="Calibri" w:cs="Calibri" w:eastAsia="Calibri" w:hAnsi="Calibri"/>
                <w:sz w:val="22"/>
                <w:szCs w:val="22"/>
                <w:rtl w:val="0"/>
              </w:rPr>
              <w:t xml:space="preserve">. Pour ce faire, trois enveloppes sont prévues :</w:t>
            </w:r>
          </w:p>
          <w:p w:rsidR="00000000" w:rsidDel="00000000" w:rsidP="00000000" w:rsidRDefault="00000000" w:rsidRPr="00000000" w14:paraId="00000037">
            <w:pPr>
              <w:numPr>
                <w:ilvl w:val="0"/>
                <w:numId w:val="1"/>
              </w:numPr>
              <w:spacing w:after="0" w:before="240" w:line="240" w:lineRule="auto"/>
              <w:ind w:left="720" w:hanging="360"/>
              <w:rPr>
                <w:sz w:val="22"/>
                <w:szCs w:val="22"/>
              </w:rPr>
            </w:pPr>
            <w:r w:rsidDel="00000000" w:rsidR="00000000" w:rsidRPr="00000000">
              <w:rPr>
                <w:rFonts w:ascii="Calibri" w:cs="Calibri" w:eastAsia="Calibri" w:hAnsi="Calibri"/>
                <w:b w:val="1"/>
                <w:sz w:val="22"/>
                <w:szCs w:val="22"/>
                <w:rtl w:val="0"/>
              </w:rPr>
              <w:t xml:space="preserve">600 M€ pour la formation professionnelle des salariés</w:t>
            </w:r>
            <w:r w:rsidDel="00000000" w:rsidR="00000000" w:rsidRPr="00000000">
              <w:rPr>
                <w:rFonts w:ascii="Calibri" w:cs="Calibri" w:eastAsia="Calibri" w:hAnsi="Calibri"/>
                <w:sz w:val="22"/>
                <w:szCs w:val="22"/>
                <w:rtl w:val="0"/>
              </w:rPr>
              <w:t xml:space="preserve">, en particulier dans les entreprises de 50 à 300 salariés ;</w:t>
            </w:r>
            <w:r w:rsidDel="00000000" w:rsidR="00000000" w:rsidRPr="00000000">
              <w:rPr>
                <w:rtl w:val="0"/>
              </w:rPr>
            </w:r>
          </w:p>
          <w:p w:rsidR="00000000" w:rsidDel="00000000" w:rsidP="00000000" w:rsidRDefault="00000000" w:rsidRPr="00000000" w14:paraId="00000038">
            <w:pPr>
              <w:numPr>
                <w:ilvl w:val="0"/>
                <w:numId w:val="1"/>
              </w:numPr>
              <w:spacing w:after="240" w:before="0" w:line="240" w:lineRule="auto"/>
              <w:ind w:left="720" w:hanging="360"/>
              <w:rPr>
                <w:sz w:val="22"/>
                <w:szCs w:val="22"/>
              </w:rPr>
            </w:pPr>
            <w:r w:rsidDel="00000000" w:rsidR="00000000" w:rsidRPr="00000000">
              <w:rPr>
                <w:rFonts w:ascii="Calibri" w:cs="Calibri" w:eastAsia="Calibri" w:hAnsi="Calibri"/>
                <w:b w:val="1"/>
                <w:sz w:val="22"/>
                <w:szCs w:val="22"/>
                <w:rtl w:val="0"/>
              </w:rPr>
              <w:t xml:space="preserve">560 M€ pour les demandeurs d’emploi</w:t>
            </w:r>
            <w:r w:rsidDel="00000000" w:rsidR="00000000" w:rsidRPr="00000000">
              <w:rPr>
                <w:rFonts w:ascii="Calibri" w:cs="Calibri" w:eastAsia="Calibri" w:hAnsi="Calibri"/>
                <w:sz w:val="22"/>
                <w:szCs w:val="22"/>
                <w:rtl w:val="0"/>
              </w:rPr>
              <w:t xml:space="preserve">, notamment les chômeurs de longue durée ;</w:t>
            </w:r>
            <w:r w:rsidDel="00000000" w:rsidR="00000000" w:rsidRPr="00000000">
              <w:rPr>
                <w:rtl w:val="0"/>
              </w:rPr>
            </w:r>
          </w:p>
          <w:p w:rsidR="00000000" w:rsidDel="00000000" w:rsidP="00000000" w:rsidRDefault="00000000" w:rsidRPr="00000000" w14:paraId="00000039">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3A">
            <w:pPr>
              <w:spacing w:after="0" w:line="240" w:lineRule="auto"/>
              <w:rPr>
                <w:rFonts w:ascii="Calibri" w:cs="Calibri" w:eastAsia="Calibri" w:hAnsi="Calibri"/>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B">
            <w:pPr>
              <w:pStyle w:val="Heading1"/>
              <w:keepNext w:val="0"/>
              <w:keepLines w:val="0"/>
              <w:spacing w:line="240" w:lineRule="auto"/>
              <w:rPr>
                <w:rFonts w:ascii="Calibri" w:cs="Calibri" w:eastAsia="Calibri" w:hAnsi="Calibri"/>
                <w:b w:val="0"/>
                <w:sz w:val="22"/>
                <w:szCs w:val="22"/>
              </w:rPr>
            </w:pPr>
            <w:bookmarkStart w:colFirst="0" w:colLast="0" w:name="_3dy6vkm" w:id="6"/>
            <w:bookmarkEnd w:id="6"/>
            <w:r w:rsidDel="00000000" w:rsidR="00000000" w:rsidRPr="00000000">
              <w:rPr>
                <w:rFonts w:ascii="Calibri" w:cs="Calibri" w:eastAsia="Calibri" w:hAnsi="Calibri"/>
                <w:b w:val="0"/>
                <w:sz w:val="22"/>
                <w:szCs w:val="22"/>
                <w:rtl w:val="0"/>
              </w:rPr>
              <w:t xml:space="preserve">FNE</w:t>
            </w:r>
          </w:p>
        </w:tc>
        <w:tc>
          <w:tcPr>
            <w:vAlign w:val="center"/>
          </w:tcPr>
          <w:p w:rsidR="00000000" w:rsidDel="00000000" w:rsidP="00000000" w:rsidRDefault="00000000" w:rsidRPr="00000000" w14:paraId="0000003C">
            <w:pPr>
              <w:pStyle w:val="Heading1"/>
              <w:keepNext w:val="0"/>
              <w:keepLines w:val="0"/>
              <w:spacing w:line="240" w:lineRule="auto"/>
              <w:rPr>
                <w:rFonts w:ascii="Calibri" w:cs="Calibri" w:eastAsia="Calibri" w:hAnsi="Calibri"/>
                <w:sz w:val="22"/>
                <w:szCs w:val="22"/>
              </w:rPr>
            </w:pPr>
            <w:bookmarkStart w:colFirst="0" w:colLast="0" w:name="_1t3h5sf" w:id="7"/>
            <w:bookmarkEnd w:id="7"/>
            <w:r w:rsidDel="00000000" w:rsidR="00000000" w:rsidRPr="00000000">
              <w:rPr>
                <w:rFonts w:ascii="Calibri" w:cs="Calibri" w:eastAsia="Calibri" w:hAnsi="Calibri"/>
                <w:sz w:val="22"/>
                <w:szCs w:val="22"/>
                <w:rtl w:val="0"/>
              </w:rPr>
              <w:t xml:space="preserve">FNE Formation </w:t>
            </w:r>
          </w:p>
        </w:tc>
        <w:tc>
          <w:tcPr>
            <w:vAlign w:val="center"/>
          </w:tcPr>
          <w:p w:rsidR="00000000" w:rsidDel="00000000" w:rsidP="00000000" w:rsidRDefault="00000000" w:rsidRPr="00000000" w14:paraId="0000003D">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https://www.opco-atlas.fr/actualites/fne-formation-accedez-des-fonds-complementaires-pour-le-financement-de-vos-formations.html</w:t>
            </w:r>
          </w:p>
        </w:tc>
        <w:tc>
          <w:tcPr>
            <w:vAlign w:val="center"/>
          </w:tcPr>
          <w:p w:rsidR="00000000" w:rsidDel="00000000" w:rsidP="00000000" w:rsidRDefault="00000000" w:rsidRPr="00000000" w14:paraId="0000003E">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21/10/21</w:t>
            </w:r>
          </w:p>
        </w:tc>
        <w:tc>
          <w:tcPr>
            <w:vAlign w:val="center"/>
          </w:tcPr>
          <w:p w:rsidR="00000000" w:rsidDel="00000000" w:rsidP="00000000" w:rsidRDefault="00000000" w:rsidRPr="00000000" w14:paraId="0000003F">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 dispositif qui</w:t>
            </w:r>
            <w:r w:rsidDel="00000000" w:rsidR="00000000" w:rsidRPr="00000000">
              <w:rPr>
                <w:rFonts w:ascii="Calibri" w:cs="Calibri" w:eastAsia="Calibri" w:hAnsi="Calibri"/>
                <w:b w:val="1"/>
                <w:sz w:val="22"/>
                <w:szCs w:val="22"/>
                <w:rtl w:val="0"/>
              </w:rPr>
              <w:t xml:space="preserve"> favorise les actions d’accompagnement des entreprises dans la reprise et le soutien de leur activité,</w:t>
            </w:r>
            <w:r w:rsidDel="00000000" w:rsidR="00000000" w:rsidRPr="00000000">
              <w:rPr>
                <w:rFonts w:ascii="Calibri" w:cs="Calibri" w:eastAsia="Calibri" w:hAnsi="Calibri"/>
                <w:sz w:val="22"/>
                <w:szCs w:val="22"/>
                <w:rtl w:val="0"/>
              </w:rPr>
              <w:t xml:space="preserve"> </w:t>
            </w:r>
          </w:p>
        </w:tc>
        <w:tc>
          <w:tcPr>
            <w:vAlign w:val="center"/>
          </w:tcPr>
          <w:p w:rsidR="00000000" w:rsidDel="00000000" w:rsidP="00000000" w:rsidRDefault="00000000" w:rsidRPr="00000000" w14:paraId="00000040">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proposer à nos clients si besoin de financement </w:t>
            </w:r>
          </w:p>
        </w:tc>
      </w:tr>
      <w:tr>
        <w:trPr>
          <w:cantSplit w:val="0"/>
          <w:tblHeader w:val="0"/>
        </w:trPr>
        <w:tc>
          <w:tcPr>
            <w:vAlign w:val="center"/>
          </w:tcPr>
          <w:p w:rsidR="00000000" w:rsidDel="00000000" w:rsidP="00000000" w:rsidRDefault="00000000" w:rsidRPr="00000000" w14:paraId="00000041">
            <w:pPr>
              <w:pStyle w:val="Heading1"/>
              <w:keepNext w:val="0"/>
              <w:keepLines w:val="0"/>
              <w:spacing w:line="240" w:lineRule="auto"/>
              <w:rPr>
                <w:rFonts w:ascii="Calibri" w:cs="Calibri" w:eastAsia="Calibri" w:hAnsi="Calibri"/>
                <w:b w:val="0"/>
                <w:sz w:val="22"/>
                <w:szCs w:val="22"/>
              </w:rPr>
            </w:pPr>
            <w:bookmarkStart w:colFirst="0" w:colLast="0" w:name="_4d34og8" w:id="8"/>
            <w:bookmarkEnd w:id="8"/>
            <w:r w:rsidDel="00000000" w:rsidR="00000000" w:rsidRPr="00000000">
              <w:rPr>
                <w:rFonts w:ascii="Calibri" w:cs="Calibri" w:eastAsia="Calibri" w:hAnsi="Calibri"/>
                <w:b w:val="0"/>
                <w:sz w:val="22"/>
                <w:szCs w:val="22"/>
                <w:rtl w:val="0"/>
              </w:rPr>
              <w:t xml:space="preserve">Agefiph</w:t>
            </w:r>
          </w:p>
        </w:tc>
        <w:tc>
          <w:tcPr>
            <w:vAlign w:val="center"/>
          </w:tcPr>
          <w:p w:rsidR="00000000" w:rsidDel="00000000" w:rsidP="00000000" w:rsidRDefault="00000000" w:rsidRPr="00000000" w14:paraId="00000042">
            <w:pPr>
              <w:pStyle w:val="Heading1"/>
              <w:keepNext w:val="0"/>
              <w:keepLines w:val="0"/>
              <w:spacing w:line="240" w:lineRule="auto"/>
              <w:rPr>
                <w:rFonts w:ascii="Calibri" w:cs="Calibri" w:eastAsia="Calibri" w:hAnsi="Calibri"/>
                <w:sz w:val="22"/>
                <w:szCs w:val="22"/>
              </w:rPr>
            </w:pPr>
            <w:bookmarkStart w:colFirst="0" w:colLast="0" w:name="_2s8eyo1" w:id="9"/>
            <w:bookmarkEnd w:id="9"/>
            <w:r w:rsidDel="00000000" w:rsidR="00000000" w:rsidRPr="00000000">
              <w:rPr>
                <w:rFonts w:ascii="Calibri" w:cs="Calibri" w:eastAsia="Calibri" w:hAnsi="Calibri"/>
                <w:sz w:val="22"/>
                <w:szCs w:val="22"/>
                <w:rtl w:val="0"/>
              </w:rPr>
              <w:t xml:space="preserve">La compensation en formation : une nouvelle aide de l’Agefiph</w:t>
            </w:r>
          </w:p>
          <w:p w:rsidR="00000000" w:rsidDel="00000000" w:rsidP="00000000" w:rsidRDefault="00000000" w:rsidRPr="00000000" w14:paraId="00000043">
            <w:pPr>
              <w:pStyle w:val="Heading1"/>
              <w:keepNext w:val="0"/>
              <w:keepLines w:val="0"/>
              <w:spacing w:line="240" w:lineRule="auto"/>
              <w:rPr>
                <w:rFonts w:ascii="Calibri" w:cs="Calibri" w:eastAsia="Calibri" w:hAnsi="Calibri"/>
                <w:sz w:val="22"/>
                <w:szCs w:val="22"/>
              </w:rPr>
            </w:pPr>
            <w:bookmarkStart w:colFirst="0" w:colLast="0" w:name="_17dp8vu" w:id="10"/>
            <w:bookmarkEnd w:id="10"/>
            <w:r w:rsidDel="00000000" w:rsidR="00000000" w:rsidRPr="00000000">
              <w:rPr>
                <w:rtl w:val="0"/>
              </w:rPr>
            </w:r>
          </w:p>
        </w:tc>
        <w:tc>
          <w:tcPr>
            <w:vAlign w:val="center"/>
          </w:tcPr>
          <w:p w:rsidR="00000000" w:rsidDel="00000000" w:rsidP="00000000" w:rsidRDefault="00000000" w:rsidRPr="00000000" w14:paraId="00000044">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https://www.agefiph.fr/actualites-handicap/la-compensation-en-formation-une-nouvelle-aide-de-lagefiph</w:t>
            </w:r>
          </w:p>
        </w:tc>
        <w:tc>
          <w:tcPr>
            <w:vAlign w:val="center"/>
          </w:tcPr>
          <w:p w:rsidR="00000000" w:rsidDel="00000000" w:rsidP="00000000" w:rsidRDefault="00000000" w:rsidRPr="00000000" w14:paraId="00000045">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16/11/21</w:t>
            </w:r>
          </w:p>
        </w:tc>
        <w:tc>
          <w:tcPr>
            <w:vAlign w:val="center"/>
          </w:tcPr>
          <w:p w:rsidR="00000000" w:rsidDel="00000000" w:rsidP="00000000" w:rsidRDefault="00000000" w:rsidRPr="00000000" w14:paraId="00000046">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Pour les</w:t>
            </w:r>
            <w:hyperlink r:id="rId7">
              <w:r w:rsidDel="00000000" w:rsidR="00000000" w:rsidRPr="00000000">
                <w:rPr>
                  <w:rFonts w:ascii="Calibri" w:cs="Calibri" w:eastAsia="Calibri" w:hAnsi="Calibri"/>
                  <w:sz w:val="22"/>
                  <w:szCs w:val="22"/>
                  <w:rtl w:val="0"/>
                </w:rPr>
                <w:t xml:space="preserve"> </w:t>
              </w:r>
            </w:hyperlink>
            <w:hyperlink r:id="rId8">
              <w:r w:rsidDel="00000000" w:rsidR="00000000" w:rsidRPr="00000000">
                <w:rPr>
                  <w:rFonts w:ascii="Calibri" w:cs="Calibri" w:eastAsia="Calibri" w:hAnsi="Calibri"/>
                  <w:color w:val="1155cc"/>
                  <w:sz w:val="22"/>
                  <w:szCs w:val="22"/>
                  <w:u w:val="single"/>
                  <w:rtl w:val="0"/>
                </w:rPr>
                <w:t xml:space="preserve">organismes de formation continue</w:t>
              </w:r>
            </w:hyperlink>
            <w:r w:rsidDel="00000000" w:rsidR="00000000" w:rsidRPr="00000000">
              <w:rPr>
                <w:rFonts w:ascii="Calibri" w:cs="Calibri" w:eastAsia="Calibri" w:hAnsi="Calibri"/>
                <w:sz w:val="22"/>
                <w:szCs w:val="22"/>
                <w:rtl w:val="0"/>
              </w:rPr>
              <w:t xml:space="preserve">, elle doit permettre la prise en charge des compensations individuelles sans surcoût (au-delà de leurs obligations légales d’accueil du public et de qualité)</w:t>
            </w:r>
          </w:p>
        </w:tc>
        <w:tc>
          <w:tcPr>
            <w:vAlign w:val="center"/>
          </w:tcPr>
          <w:p w:rsidR="00000000" w:rsidDel="00000000" w:rsidP="00000000" w:rsidRDefault="00000000" w:rsidRPr="00000000" w14:paraId="00000047">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 besoin de compensations pour accueillir une personne handicapé, contacter l’Agefiph pour un accompagnement et une  prise en charge des moyens de compensations</w:t>
            </w:r>
          </w:p>
        </w:tc>
      </w:tr>
      <w:tr>
        <w:trPr>
          <w:cantSplit w:val="0"/>
          <w:tblHeader w:val="0"/>
        </w:trPr>
        <w:tc>
          <w:tcPr>
            <w:vAlign w:val="center"/>
          </w:tcPr>
          <w:p w:rsidR="00000000" w:rsidDel="00000000" w:rsidP="00000000" w:rsidRDefault="00000000" w:rsidRPr="00000000" w14:paraId="00000048">
            <w:pPr>
              <w:pStyle w:val="Heading1"/>
              <w:keepNext w:val="0"/>
              <w:keepLines w:val="0"/>
              <w:spacing w:line="240" w:lineRule="auto"/>
              <w:rPr>
                <w:rFonts w:ascii="Calibri" w:cs="Calibri" w:eastAsia="Calibri" w:hAnsi="Calibri"/>
                <w:b w:val="0"/>
                <w:sz w:val="22"/>
                <w:szCs w:val="22"/>
              </w:rPr>
            </w:pPr>
            <w:bookmarkStart w:colFirst="0" w:colLast="0" w:name="_3rdcrjn" w:id="11"/>
            <w:bookmarkEnd w:id="11"/>
            <w:r w:rsidDel="00000000" w:rsidR="00000000" w:rsidRPr="00000000">
              <w:rPr>
                <w:rFonts w:ascii="Calibri" w:cs="Calibri" w:eastAsia="Calibri" w:hAnsi="Calibri"/>
                <w:b w:val="0"/>
                <w:sz w:val="22"/>
                <w:szCs w:val="22"/>
                <w:rtl w:val="0"/>
              </w:rPr>
              <w:t xml:space="preserve">Covid</w:t>
            </w:r>
          </w:p>
        </w:tc>
        <w:tc>
          <w:tcPr>
            <w:vAlign w:val="center"/>
          </w:tcPr>
          <w:p w:rsidR="00000000" w:rsidDel="00000000" w:rsidP="00000000" w:rsidRDefault="00000000" w:rsidRPr="00000000" w14:paraId="00000049">
            <w:pPr>
              <w:pStyle w:val="Heading1"/>
              <w:keepNext w:val="0"/>
              <w:keepLines w:val="0"/>
              <w:spacing w:line="240" w:lineRule="auto"/>
              <w:rPr>
                <w:rFonts w:ascii="Calibri" w:cs="Calibri" w:eastAsia="Calibri" w:hAnsi="Calibri"/>
                <w:sz w:val="22"/>
                <w:szCs w:val="22"/>
              </w:rPr>
            </w:pPr>
            <w:bookmarkStart w:colFirst="0" w:colLast="0" w:name="_26in1rg" w:id="12"/>
            <w:bookmarkEnd w:id="12"/>
            <w:r w:rsidDel="00000000" w:rsidR="00000000" w:rsidRPr="00000000">
              <w:rPr>
                <w:rFonts w:ascii="Calibri" w:cs="Calibri" w:eastAsia="Calibri" w:hAnsi="Calibri"/>
                <w:sz w:val="22"/>
                <w:szCs w:val="22"/>
                <w:rtl w:val="0"/>
              </w:rPr>
              <w:t xml:space="preserve">Protocole sanitaire au travail : quelles évolutions depuis le 29 novembre 2021 ?</w:t>
            </w:r>
          </w:p>
          <w:p w:rsidR="00000000" w:rsidDel="00000000" w:rsidP="00000000" w:rsidRDefault="00000000" w:rsidRPr="00000000" w14:paraId="0000004A">
            <w:pPr>
              <w:spacing w:after="0" w:line="240" w:lineRule="auto"/>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4B">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https://www.service-public.fr/particuliers/actualites/A15338</w:t>
            </w:r>
          </w:p>
        </w:tc>
        <w:tc>
          <w:tcPr>
            <w:vAlign w:val="center"/>
          </w:tcPr>
          <w:p w:rsidR="00000000" w:rsidDel="00000000" w:rsidP="00000000" w:rsidRDefault="00000000" w:rsidRPr="00000000" w14:paraId="0000004C">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30/11/21</w:t>
            </w:r>
          </w:p>
        </w:tc>
        <w:tc>
          <w:tcPr>
            <w:vAlign w:val="center"/>
          </w:tcPr>
          <w:p w:rsidR="00000000" w:rsidDel="00000000" w:rsidP="00000000" w:rsidRDefault="00000000" w:rsidRPr="00000000" w14:paraId="0000004D">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eme vague :</w:t>
            </w:r>
          </w:p>
          <w:p w:rsidR="00000000" w:rsidDel="00000000" w:rsidP="00000000" w:rsidRDefault="00000000" w:rsidRPr="00000000" w14:paraId="0000004E">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 port du masque est systématique au sein des entreprises dans tous les lieux collectifs clos. Lorsque plusieurs personnes occupent un bureau, il doit être continuellement porté.</w:t>
            </w:r>
          </w:p>
          <w:p w:rsidR="00000000" w:rsidDel="00000000" w:rsidP="00000000" w:rsidRDefault="00000000" w:rsidRPr="00000000" w14:paraId="0000004F">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nettoyage, de la ventilation, de l'aération des locaux, de la mise en œuvre d'une politique de prévention et de la gestion des flux de personnes.</w:t>
            </w:r>
          </w:p>
        </w:tc>
        <w:tc>
          <w:tcPr>
            <w:vAlign w:val="center"/>
          </w:tcPr>
          <w:p w:rsidR="00000000" w:rsidDel="00000000" w:rsidP="00000000" w:rsidRDefault="00000000" w:rsidRPr="00000000" w14:paraId="00000050">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Privilégier les formations à distance. Si pas possible pas plus de 4 personnes en formation présentiel  </w:t>
            </w:r>
          </w:p>
        </w:tc>
      </w:tr>
    </w:tbl>
    <w:p w:rsidR="00000000" w:rsidDel="00000000" w:rsidP="00000000" w:rsidRDefault="00000000" w:rsidRPr="00000000" w14:paraId="00000051">
      <w:pPr>
        <w:tabs>
          <w:tab w:val="left" w:pos="13230"/>
          <w:tab w:val="right" w:pos="14004"/>
        </w:tabs>
        <w:rPr>
          <w:b w:val="1"/>
          <w:sz w:val="36"/>
          <w:szCs w:val="36"/>
        </w:rPr>
      </w:pPr>
      <w:r w:rsidDel="00000000" w:rsidR="00000000" w:rsidRPr="00000000">
        <w:rPr>
          <w:sz w:val="36"/>
          <w:szCs w:val="36"/>
          <w:rtl w:val="0"/>
        </w:rPr>
        <w:tab/>
      </w:r>
      <w:r w:rsidDel="00000000" w:rsidR="00000000" w:rsidRPr="00000000">
        <w:rPr>
          <w:rtl w:val="0"/>
        </w:rPr>
      </w:r>
    </w:p>
    <w:p w:rsidR="00000000" w:rsidDel="00000000" w:rsidP="00000000" w:rsidRDefault="00000000" w:rsidRPr="00000000" w14:paraId="00000052">
      <w:pPr>
        <w:tabs>
          <w:tab w:val="left" w:pos="13230"/>
          <w:tab w:val="right" w:pos="14004"/>
        </w:tabs>
        <w:rPr>
          <w:sz w:val="36"/>
          <w:szCs w:val="36"/>
        </w:rPr>
      </w:pPr>
      <w:r w:rsidDel="00000000" w:rsidR="00000000" w:rsidRPr="00000000">
        <w:rPr>
          <w:rtl w:val="0"/>
        </w:rPr>
      </w:r>
    </w:p>
    <w:p w:rsidR="00000000" w:rsidDel="00000000" w:rsidP="00000000" w:rsidRDefault="00000000" w:rsidRPr="00000000" w14:paraId="00000053">
      <w:pPr>
        <w:tabs>
          <w:tab w:val="left" w:pos="13230"/>
          <w:tab w:val="right" w:pos="14004"/>
        </w:tabs>
        <w:rPr>
          <w:sz w:val="36"/>
          <w:szCs w:val="36"/>
        </w:rPr>
      </w:pPr>
      <w:r w:rsidDel="00000000" w:rsidR="00000000" w:rsidRPr="00000000">
        <w:rPr>
          <w:rtl w:val="0"/>
        </w:rPr>
      </w:r>
    </w:p>
    <w:p w:rsidR="00000000" w:rsidDel="00000000" w:rsidP="00000000" w:rsidRDefault="00000000" w:rsidRPr="00000000" w14:paraId="00000054">
      <w:pPr>
        <w:tabs>
          <w:tab w:val="left" w:pos="13230"/>
          <w:tab w:val="right" w:pos="14004"/>
        </w:tabs>
        <w:rPr>
          <w:sz w:val="36"/>
          <w:szCs w:val="36"/>
        </w:rPr>
      </w:pPr>
      <w:r w:rsidDel="00000000" w:rsidR="00000000" w:rsidRPr="00000000">
        <w:rPr>
          <w:rtl w:val="0"/>
        </w:rPr>
      </w:r>
    </w:p>
    <w:p w:rsidR="00000000" w:rsidDel="00000000" w:rsidP="00000000" w:rsidRDefault="00000000" w:rsidRPr="00000000" w14:paraId="00000055">
      <w:pPr>
        <w:tabs>
          <w:tab w:val="left" w:pos="13230"/>
          <w:tab w:val="right" w:pos="14004"/>
        </w:tabs>
        <w:rPr>
          <w:sz w:val="36"/>
          <w:szCs w:val="36"/>
        </w:rPr>
      </w:pPr>
      <w:r w:rsidDel="00000000" w:rsidR="00000000" w:rsidRPr="00000000">
        <w:rPr>
          <w:rtl w:val="0"/>
        </w:rPr>
      </w:r>
    </w:p>
    <w:p w:rsidR="00000000" w:rsidDel="00000000" w:rsidP="00000000" w:rsidRDefault="00000000" w:rsidRPr="00000000" w14:paraId="00000056">
      <w:pPr>
        <w:tabs>
          <w:tab w:val="left" w:pos="13230"/>
          <w:tab w:val="right" w:pos="14004"/>
        </w:tabs>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Sources de veille réglementaire : </w:t>
      </w:r>
    </w:p>
    <w:p w:rsidR="00000000" w:rsidDel="00000000" w:rsidP="00000000" w:rsidRDefault="00000000" w:rsidRPr="00000000" w14:paraId="00000057">
      <w:pPr>
        <w:tabs>
          <w:tab w:val="left" w:pos="13230"/>
          <w:tab w:val="right" w:pos="14004"/>
        </w:tabs>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8">
      <w:pPr>
        <w:tabs>
          <w:tab w:val="left" w:pos="13230"/>
          <w:tab w:val="right" w:pos="14004"/>
        </w:tabs>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Formalert </w:t>
      </w:r>
    </w:p>
    <w:p w:rsidR="00000000" w:rsidDel="00000000" w:rsidP="00000000" w:rsidRDefault="00000000" w:rsidRPr="00000000" w14:paraId="00000059">
      <w:pPr>
        <w:tabs>
          <w:tab w:val="left" w:pos="13230"/>
          <w:tab w:val="right" w:pos="14004"/>
        </w:tabs>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Info.gouv</w:t>
      </w:r>
    </w:p>
    <w:p w:rsidR="00000000" w:rsidDel="00000000" w:rsidP="00000000" w:rsidRDefault="00000000" w:rsidRPr="00000000" w14:paraId="0000005A">
      <w:pPr>
        <w:tabs>
          <w:tab w:val="left" w:pos="13230"/>
          <w:tab w:val="right" w:pos="14004"/>
        </w:tabs>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Agefiph</w:t>
      </w:r>
    </w:p>
    <w:p w:rsidR="00000000" w:rsidDel="00000000" w:rsidP="00000000" w:rsidRDefault="00000000" w:rsidRPr="00000000" w14:paraId="0000005B">
      <w:pPr>
        <w:tabs>
          <w:tab w:val="left" w:pos="13230"/>
          <w:tab w:val="right" w:pos="14004"/>
        </w:tabs>
        <w:rPr>
          <w:sz w:val="36"/>
          <w:szCs w:val="36"/>
        </w:rPr>
      </w:pPr>
      <w:r w:rsidDel="00000000" w:rsidR="00000000" w:rsidRPr="00000000">
        <w:rPr>
          <w:rFonts w:ascii="Calibri" w:cs="Calibri" w:eastAsia="Calibri" w:hAnsi="Calibri"/>
          <w:sz w:val="28"/>
          <w:szCs w:val="28"/>
          <w:rtl w:val="0"/>
        </w:rPr>
        <w:t xml:space="preserve">Opco</w:t>
      </w:r>
      <w:r w:rsidDel="00000000" w:rsidR="00000000" w:rsidRPr="00000000">
        <w:rPr>
          <w:sz w:val="36"/>
          <w:szCs w:val="36"/>
          <w:rtl w:val="0"/>
        </w:rPr>
        <w:tab/>
      </w:r>
    </w:p>
    <w:sectPr>
      <w:headerReference r:id="rId9" w:type="default"/>
      <w:headerReference r:id="rId10" w:type="first"/>
      <w:headerReference r:id="rId11" w:type="even"/>
      <w:footerReference r:id="rId12" w:type="default"/>
      <w:footerReference r:id="rId13" w:type="first"/>
      <w:footerReference r:id="rId14" w:type="even"/>
      <w:pgSz w:h="11906" w:w="16838" w:orient="landscape"/>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60">
    <w:pPr>
      <w:tabs>
        <w:tab w:val="center" w:pos="4536"/>
        <w:tab w:val="right" w:pos="9072"/>
      </w:tabs>
      <w:spacing w:after="0" w:line="240" w:lineRule="auto"/>
      <w:jc w:val="center"/>
      <w:rPr>
        <w:color w:val="c00000"/>
        <w:sz w:val="16"/>
        <w:szCs w:val="16"/>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color w:val="c00000"/>
        <w:sz w:val="16"/>
        <w:szCs w:val="16"/>
      </w:rPr>
    </w:pPr>
    <w:r w:rsidDel="00000000" w:rsidR="00000000" w:rsidRPr="00000000">
      <w:rPr>
        <w:rtl w:val="0"/>
      </w:rPr>
    </w:r>
  </w:p>
  <w:p w:rsidR="00000000" w:rsidDel="00000000" w:rsidP="00000000" w:rsidRDefault="00000000" w:rsidRPr="00000000" w14:paraId="00000062">
    <w:pPr>
      <w:tabs>
        <w:tab w:val="center" w:pos="4536"/>
        <w:tab w:val="right" w:pos="9072"/>
      </w:tabs>
      <w:spacing w:after="0" w:line="240" w:lineRule="auto"/>
      <w:jc w:val="center"/>
      <w:rPr>
        <w:sz w:val="16"/>
        <w:szCs w:val="16"/>
      </w:rPr>
    </w:pPr>
    <w:r w:rsidDel="00000000" w:rsidR="00000000" w:rsidRPr="00000000">
      <w:rPr>
        <w:sz w:val="16"/>
        <w:szCs w:val="16"/>
        <w:rtl w:val="0"/>
      </w:rPr>
      <w:t xml:space="preserve">NOM, ADRESSE</w:t>
    </w:r>
  </w:p>
  <w:p w:rsidR="00000000" w:rsidDel="00000000" w:rsidP="00000000" w:rsidRDefault="00000000" w:rsidRPr="00000000" w14:paraId="00000063">
    <w:pPr>
      <w:tabs>
        <w:tab w:val="center" w:pos="4536"/>
        <w:tab w:val="right" w:pos="9072"/>
      </w:tabs>
      <w:spacing w:after="0" w:line="240" w:lineRule="auto"/>
      <w:jc w:val="center"/>
      <w:rPr>
        <w:sz w:val="16"/>
        <w:szCs w:val="16"/>
      </w:rPr>
    </w:pPr>
    <w:r w:rsidDel="00000000" w:rsidR="00000000" w:rsidRPr="00000000">
      <w:rPr>
        <w:sz w:val="16"/>
        <w:szCs w:val="16"/>
        <w:rtl w:val="0"/>
      </w:rPr>
      <w:t xml:space="preserve">Siret : XXX – Naf : XXX – TVA : XXX RCS XXX</w:t>
    </w:r>
  </w:p>
  <w:p w:rsidR="00000000" w:rsidDel="00000000" w:rsidP="00000000" w:rsidRDefault="00000000" w:rsidRPr="00000000" w14:paraId="00000064">
    <w:pPr>
      <w:tabs>
        <w:tab w:val="center" w:pos="4536"/>
        <w:tab w:val="right" w:pos="9072"/>
      </w:tabs>
      <w:spacing w:after="0" w:line="240" w:lineRule="auto"/>
      <w:jc w:val="center"/>
      <w:rPr>
        <w:sz w:val="16"/>
        <w:szCs w:val="16"/>
      </w:rPr>
    </w:pPr>
    <w:r w:rsidDel="00000000" w:rsidR="00000000" w:rsidRPr="00000000">
      <w:rPr>
        <w:sz w:val="16"/>
        <w:szCs w:val="16"/>
        <w:rtl w:val="0"/>
      </w:rPr>
      <w:t xml:space="preserve">XXX au capital de XXX€</w:t>
    </w:r>
  </w:p>
  <w:p w:rsidR="00000000" w:rsidDel="00000000" w:rsidP="00000000" w:rsidRDefault="00000000" w:rsidRPr="00000000" w14:paraId="00000065">
    <w:pPr>
      <w:tabs>
        <w:tab w:val="center" w:pos="4536"/>
        <w:tab w:val="right" w:pos="9072"/>
      </w:tabs>
      <w:spacing w:after="0" w:line="240" w:lineRule="auto"/>
      <w:jc w:val="center"/>
      <w:rPr>
        <w:sz w:val="16"/>
        <w:szCs w:val="16"/>
      </w:rPr>
    </w:pPr>
    <w:r w:rsidDel="00000000" w:rsidR="00000000" w:rsidRPr="00000000">
      <w:rPr>
        <w:sz w:val="16"/>
        <w:szCs w:val="16"/>
        <w:rtl w:val="0"/>
      </w:rPr>
      <w:t xml:space="preserve">Tel : XXX – Email : XXX</w:t>
    </w:r>
  </w:p>
  <w:p w:rsidR="00000000" w:rsidDel="00000000" w:rsidP="00000000" w:rsidRDefault="00000000" w:rsidRPr="00000000" w14:paraId="00000066">
    <w:pPr>
      <w:tabs>
        <w:tab w:val="center" w:pos="4536"/>
        <w:tab w:val="right" w:pos="9072"/>
      </w:tabs>
      <w:spacing w:after="0" w:line="240" w:lineRule="auto"/>
      <w:jc w:val="center"/>
      <w:rPr>
        <w:sz w:val="16"/>
        <w:szCs w:val="16"/>
      </w:rPr>
    </w:pPr>
    <w:r w:rsidDel="00000000" w:rsidR="00000000" w:rsidRPr="00000000">
      <w:rPr>
        <w:sz w:val="16"/>
        <w:szCs w:val="16"/>
        <w:rtl w:val="0"/>
      </w:rPr>
      <w:t xml:space="preserve">Site internet : XXX</w:t>
    </w:r>
  </w:p>
  <w:p w:rsidR="00000000" w:rsidDel="00000000" w:rsidP="00000000" w:rsidRDefault="00000000" w:rsidRPr="00000000" w14:paraId="00000067">
    <w:pPr>
      <w:tabs>
        <w:tab w:val="center" w:pos="4536"/>
        <w:tab w:val="right" w:pos="9072"/>
      </w:tabs>
      <w:spacing w:after="0" w:line="240" w:lineRule="auto"/>
      <w:jc w:val="center"/>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legifiscal.fr/actualites-fiscales/2828-ordonnance-transfert-recouvrement-contribution-formation-taxe-apprentissage-urssaf.html" TargetMode="External"/><Relationship Id="rId7" Type="http://schemas.openxmlformats.org/officeDocument/2006/relationships/hyperlink" Target="https://www.futura-sciences.com/sciences/questions-reponses/skillz-sont-principaux-organismes-formation-continue-16146/" TargetMode="External"/><Relationship Id="rId8" Type="http://schemas.openxmlformats.org/officeDocument/2006/relationships/hyperlink" Target="https://www.futura-sciences.com/sciences/questions-reponses/skillz-sont-principaux-organismes-formation-continue-1614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