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ANALYSE DU BESOIN DU BÉNÉFICIAIRE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GRILLE D’IDENTIFICATION DES BESOINS DE FORMATION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À travers un questionnaire que nous envoyons à chaque financeur lors de nos premiers échanges, nous identifions les besoins de formation. Cela nous permet ensuite de proposer les formations les plus en adéquation avec leurs objectifs.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Une fois le questionnaire reçu, nos formateurs émettent un avis favorable ou défavorable sur la demande de formation. 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DOSSIER DE CANDIDATURE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Pour les stagiaires, nous analysons leurs besoins en formation à travers le dossier de candidature envoyé lors de l’inscription. Deux questions sont posées : « quelles sont vos motivations pour suivre la formation ? » et « quel est votre objectif professionnel ? ». 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Une fois encore, à la réception du dossier de candidature, nos formateurs émettent un avis favorable ou défavorable sur la demande de formation. 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0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11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